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320002CC" w14:textId="77777777" w:rsidR="00F63E71" w:rsidRPr="00584922" w:rsidRDefault="00F63E71" w:rsidP="00F63E71">
      <w:pPr>
        <w:spacing w:after="0" w:line="240" w:lineRule="auto"/>
        <w:ind w:left="1080" w:hanging="1080"/>
        <w:rPr>
          <w:rFonts w:cs="Arial"/>
          <w:b/>
          <w:szCs w:val="22"/>
        </w:rPr>
      </w:pPr>
      <w:r w:rsidRPr="00584922">
        <w:rPr>
          <w:rFonts w:cs="Arial"/>
          <w:b/>
          <w:bCs/>
          <w:szCs w:val="22"/>
        </w:rPr>
        <w:t>Příkazce</w:t>
      </w:r>
      <w:r w:rsidRPr="00584922">
        <w:rPr>
          <w:rFonts w:cs="Arial"/>
          <w:b/>
          <w:szCs w:val="22"/>
        </w:rPr>
        <w:t xml:space="preserve">: </w:t>
      </w:r>
    </w:p>
    <w:p w14:paraId="45780DBF" w14:textId="77777777" w:rsidR="00F63E71" w:rsidRPr="00322DBB" w:rsidRDefault="00F63E71" w:rsidP="00F63E71">
      <w:pPr>
        <w:spacing w:after="0" w:line="240" w:lineRule="auto"/>
        <w:rPr>
          <w:rFonts w:cs="Arial"/>
          <w:b/>
          <w:szCs w:val="22"/>
        </w:rPr>
      </w:pPr>
      <w:r w:rsidRPr="00322DBB">
        <w:rPr>
          <w:rFonts w:cs="Arial"/>
          <w:b/>
          <w:szCs w:val="22"/>
        </w:rPr>
        <w:t xml:space="preserve">Česká </w:t>
      </w:r>
      <w:proofErr w:type="gramStart"/>
      <w:r w:rsidRPr="00322DBB">
        <w:rPr>
          <w:rFonts w:cs="Arial"/>
          <w:b/>
          <w:szCs w:val="22"/>
        </w:rPr>
        <w:t>republika - Státní</w:t>
      </w:r>
      <w:proofErr w:type="gramEnd"/>
      <w:r w:rsidRPr="00322DBB">
        <w:rPr>
          <w:rFonts w:cs="Arial"/>
          <w:b/>
          <w:szCs w:val="22"/>
        </w:rPr>
        <w:t xml:space="preserve"> pozemkový úřad, </w:t>
      </w:r>
    </w:p>
    <w:p w14:paraId="29B436B9" w14:textId="77777777" w:rsidR="00F63E71" w:rsidRPr="00322DBB" w:rsidRDefault="00F63E71" w:rsidP="00F63E71">
      <w:pPr>
        <w:spacing w:after="0" w:line="240" w:lineRule="auto"/>
        <w:rPr>
          <w:rFonts w:cs="Arial"/>
          <w:b/>
          <w:szCs w:val="22"/>
        </w:rPr>
      </w:pPr>
      <w:r w:rsidRPr="00322DBB">
        <w:rPr>
          <w:rFonts w:cs="Arial"/>
          <w:b/>
          <w:szCs w:val="22"/>
        </w:rPr>
        <w:t xml:space="preserve">Krajský pozemkový úřad pro Jihočeský kraj, </w:t>
      </w:r>
    </w:p>
    <w:p w14:paraId="01A424FD" w14:textId="77777777" w:rsidR="00F63E71" w:rsidRPr="00322DBB" w:rsidRDefault="00F63E71" w:rsidP="00F63E71">
      <w:pPr>
        <w:spacing w:after="0" w:line="240" w:lineRule="auto"/>
        <w:rPr>
          <w:rFonts w:cs="Arial"/>
          <w:b/>
          <w:szCs w:val="22"/>
        </w:rPr>
      </w:pPr>
      <w:r w:rsidRPr="00322DBB">
        <w:rPr>
          <w:rFonts w:cs="Arial"/>
          <w:b/>
          <w:szCs w:val="22"/>
        </w:rPr>
        <w:t xml:space="preserve">Pobočka Prachatice </w:t>
      </w:r>
    </w:p>
    <w:p w14:paraId="112B9FDB" w14:textId="77777777" w:rsidR="00F63E71" w:rsidRPr="00322DBB" w:rsidRDefault="00F63E71" w:rsidP="00F63E71">
      <w:pPr>
        <w:spacing w:after="0" w:line="240" w:lineRule="auto"/>
        <w:rPr>
          <w:rFonts w:cs="Arial"/>
          <w:szCs w:val="22"/>
        </w:rPr>
      </w:pPr>
      <w:r w:rsidRPr="00322DBB">
        <w:rPr>
          <w:rFonts w:cs="Arial"/>
          <w:szCs w:val="22"/>
        </w:rPr>
        <w:t>Sídlo: Vodňanská 329, 383 01 Prachatice</w:t>
      </w:r>
    </w:p>
    <w:p w14:paraId="51A052E6" w14:textId="77777777" w:rsidR="00F63E71" w:rsidRPr="00322DBB" w:rsidRDefault="00F63E71" w:rsidP="00F63E71">
      <w:pPr>
        <w:tabs>
          <w:tab w:val="left" w:pos="0"/>
        </w:tabs>
        <w:spacing w:after="0" w:line="240" w:lineRule="auto"/>
        <w:rPr>
          <w:rFonts w:cs="Arial"/>
          <w:szCs w:val="22"/>
        </w:rPr>
      </w:pPr>
      <w:r w:rsidRPr="00322DBB">
        <w:rPr>
          <w:rFonts w:cs="Arial"/>
          <w:szCs w:val="22"/>
        </w:rPr>
        <w:t xml:space="preserve">Zastoupený: Ing. Františkem Šebestou, vedoucím Pobočky Prachatice </w:t>
      </w:r>
    </w:p>
    <w:p w14:paraId="0E992BB2" w14:textId="77777777" w:rsidR="00F63E71" w:rsidRPr="00322DBB" w:rsidRDefault="00F63E71" w:rsidP="00F63E71">
      <w:pPr>
        <w:tabs>
          <w:tab w:val="left" w:pos="0"/>
        </w:tabs>
        <w:spacing w:after="0" w:line="240" w:lineRule="auto"/>
        <w:rPr>
          <w:rFonts w:cs="Arial"/>
          <w:szCs w:val="22"/>
        </w:rPr>
      </w:pPr>
      <w:r w:rsidRPr="00322DBB">
        <w:rPr>
          <w:rFonts w:cs="Arial"/>
          <w:szCs w:val="22"/>
        </w:rPr>
        <w:t>IČ: 01312774</w:t>
      </w:r>
    </w:p>
    <w:p w14:paraId="252DF746" w14:textId="77777777" w:rsidR="00F63E71" w:rsidRPr="00322DBB" w:rsidRDefault="00F63E71" w:rsidP="00F63E71">
      <w:pPr>
        <w:tabs>
          <w:tab w:val="left" w:pos="0"/>
        </w:tabs>
        <w:spacing w:after="0" w:line="240" w:lineRule="auto"/>
        <w:rPr>
          <w:rFonts w:cs="Arial"/>
          <w:szCs w:val="22"/>
        </w:rPr>
      </w:pPr>
      <w:r w:rsidRPr="00322DBB">
        <w:rPr>
          <w:rFonts w:cs="Arial"/>
          <w:szCs w:val="22"/>
        </w:rPr>
        <w:t>DIČ: CZ01312774 – není plátce DPH</w:t>
      </w:r>
    </w:p>
    <w:p w14:paraId="6F740754" w14:textId="77777777" w:rsidR="00F63E71" w:rsidRPr="00322DBB" w:rsidRDefault="00F63E71" w:rsidP="00F63E71">
      <w:pPr>
        <w:tabs>
          <w:tab w:val="left" w:pos="0"/>
        </w:tabs>
        <w:spacing w:after="0" w:line="240" w:lineRule="auto"/>
        <w:rPr>
          <w:rFonts w:cs="Arial"/>
          <w:szCs w:val="22"/>
        </w:rPr>
      </w:pPr>
      <w:r w:rsidRPr="00322DBB">
        <w:rPr>
          <w:rFonts w:cs="Arial"/>
          <w:szCs w:val="22"/>
        </w:rPr>
        <w:t xml:space="preserve">Bankovní spojení: Česká národní banka </w:t>
      </w:r>
    </w:p>
    <w:p w14:paraId="514A059E" w14:textId="77777777" w:rsidR="00F63E71" w:rsidRPr="00322DBB" w:rsidRDefault="00F63E71" w:rsidP="00F63E71">
      <w:pPr>
        <w:tabs>
          <w:tab w:val="left" w:pos="0"/>
        </w:tabs>
        <w:spacing w:after="0" w:line="240" w:lineRule="auto"/>
        <w:rPr>
          <w:rFonts w:cs="Arial"/>
          <w:szCs w:val="22"/>
        </w:rPr>
      </w:pPr>
      <w:r w:rsidRPr="00322DBB">
        <w:rPr>
          <w:rFonts w:cs="Arial"/>
          <w:szCs w:val="22"/>
        </w:rPr>
        <w:t>Číslo účtu: 3723001/0710</w:t>
      </w:r>
    </w:p>
    <w:p w14:paraId="1FC67204" w14:textId="77777777" w:rsidR="00F63E71" w:rsidRPr="00322DBB" w:rsidRDefault="00F63E71" w:rsidP="00F63E71">
      <w:pPr>
        <w:tabs>
          <w:tab w:val="left" w:pos="0"/>
        </w:tabs>
        <w:spacing w:after="0" w:line="240" w:lineRule="auto"/>
        <w:rPr>
          <w:rFonts w:cs="Arial"/>
          <w:szCs w:val="22"/>
        </w:rPr>
      </w:pPr>
      <w:r w:rsidRPr="00322DBB">
        <w:rPr>
          <w:rFonts w:cs="Arial"/>
          <w:szCs w:val="22"/>
        </w:rPr>
        <w:t>Telefon: 702 126 657</w:t>
      </w:r>
    </w:p>
    <w:p w14:paraId="1B10C159" w14:textId="77777777" w:rsidR="00F63E71" w:rsidRPr="00322DBB" w:rsidRDefault="00F63E71" w:rsidP="00F63E71">
      <w:pPr>
        <w:tabs>
          <w:tab w:val="left" w:pos="0"/>
        </w:tabs>
        <w:spacing w:after="0" w:line="240" w:lineRule="auto"/>
        <w:rPr>
          <w:rFonts w:cs="Arial"/>
          <w:szCs w:val="22"/>
        </w:rPr>
      </w:pPr>
      <w:r w:rsidRPr="00322DBB">
        <w:rPr>
          <w:rFonts w:cs="Arial"/>
          <w:szCs w:val="22"/>
        </w:rPr>
        <w:t>e-mail: f.sebesta@spucr.cz</w:t>
      </w:r>
    </w:p>
    <w:p w14:paraId="6CD62827" w14:textId="77777777" w:rsidR="00F63E71" w:rsidRPr="00322DBB" w:rsidRDefault="00F63E71" w:rsidP="00F63E71">
      <w:pPr>
        <w:tabs>
          <w:tab w:val="left" w:pos="0"/>
        </w:tabs>
        <w:spacing w:after="0" w:line="240" w:lineRule="auto"/>
        <w:rPr>
          <w:rFonts w:cs="Arial"/>
          <w:szCs w:val="22"/>
        </w:rPr>
      </w:pPr>
      <w:r w:rsidRPr="00322DBB">
        <w:rPr>
          <w:rFonts w:cs="Arial"/>
          <w:szCs w:val="22"/>
        </w:rPr>
        <w:t xml:space="preserve">ID DS: </w:t>
      </w:r>
      <w:r w:rsidRPr="00322DBB">
        <w:rPr>
          <w:rFonts w:cs="Arial"/>
          <w:szCs w:val="22"/>
        </w:rPr>
        <w:tab/>
      </w:r>
      <w:r w:rsidRPr="00322DBB">
        <w:rPr>
          <w:rFonts w:cs="Arial"/>
          <w:szCs w:val="22"/>
        </w:rPr>
        <w:tab/>
        <w:t xml:space="preserve"> </w:t>
      </w:r>
      <w:r w:rsidRPr="00322DBB">
        <w:rPr>
          <w:rFonts w:cs="Arial"/>
          <w:szCs w:val="22"/>
        </w:rPr>
        <w:tab/>
      </w:r>
    </w:p>
    <w:p w14:paraId="6ECF628A" w14:textId="77777777" w:rsidR="00F63E71" w:rsidRPr="00322DBB" w:rsidRDefault="00F63E71" w:rsidP="00F63E71">
      <w:pPr>
        <w:spacing w:after="0"/>
        <w:rPr>
          <w:rFonts w:cs="Arial"/>
          <w:szCs w:val="22"/>
        </w:rPr>
      </w:pPr>
      <w:r w:rsidRPr="00322DBB">
        <w:rPr>
          <w:rFonts w:cs="Arial"/>
          <w:szCs w:val="22"/>
        </w:rPr>
        <w:t>(dále jen „příkazce“)</w:t>
      </w:r>
      <w:r w:rsidRPr="00322DBB">
        <w:rPr>
          <w:rFonts w:cs="Arial"/>
          <w:szCs w:val="22"/>
        </w:rPr>
        <w:tab/>
      </w:r>
    </w:p>
    <w:p w14:paraId="4BCBE864" w14:textId="58FB221E" w:rsidR="00F63E71" w:rsidRPr="00F63E71" w:rsidRDefault="00F63E71">
      <w:pPr>
        <w:rPr>
          <w:rFonts w:cs="Arial"/>
          <w:szCs w:val="22"/>
        </w:rPr>
      </w:pPr>
      <w:r w:rsidRPr="00F63E71">
        <w:rPr>
          <w:rFonts w:cs="Arial"/>
          <w:szCs w:val="22"/>
        </w:rPr>
        <w:t>a</w:t>
      </w:r>
    </w:p>
    <w:p w14:paraId="54E2DAAC" w14:textId="3BABE062" w:rsidR="00935DBE" w:rsidRDefault="0057161A">
      <w:pPr>
        <w:rPr>
          <w:rFonts w:cs="Arial"/>
          <w:b/>
          <w:bCs/>
          <w:szCs w:val="22"/>
        </w:rPr>
      </w:pPr>
      <w:proofErr w:type="spellStart"/>
      <w:r w:rsidRPr="00AB5E77">
        <w:rPr>
          <w:rFonts w:cs="Arial"/>
          <w:b/>
          <w:bCs/>
          <w:szCs w:val="22"/>
        </w:rPr>
        <w:t>Příkazník</w:t>
      </w:r>
      <w:proofErr w:type="spellEnd"/>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DS: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4EF17A8D"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68763C">
        <w:rPr>
          <w:rFonts w:cs="Arial"/>
          <w:szCs w:val="22"/>
        </w:rPr>
        <w:t>Čl. 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bookmarkStart w:id="1" w:name="_Hlk163043271"/>
      <w:r w:rsidR="00911389" w:rsidRPr="00C91072">
        <w:rPr>
          <w:rFonts w:cs="Arial"/>
          <w:szCs w:val="22"/>
        </w:rPr>
        <w:t>„</w:t>
      </w:r>
      <w:r w:rsidR="00236FE9">
        <w:rPr>
          <w:rFonts w:cs="Arial"/>
          <w:szCs w:val="22"/>
        </w:rPr>
        <w:t xml:space="preserve">Revitalizace vodoteče, polní cesta NCV5 </w:t>
      </w:r>
      <w:proofErr w:type="spellStart"/>
      <w:r w:rsidR="00236FE9">
        <w:rPr>
          <w:rFonts w:cs="Arial"/>
          <w:szCs w:val="22"/>
        </w:rPr>
        <w:t>KoPÚ</w:t>
      </w:r>
      <w:proofErr w:type="spellEnd"/>
      <w:r w:rsidR="00236FE9">
        <w:rPr>
          <w:rFonts w:cs="Arial"/>
          <w:szCs w:val="22"/>
        </w:rPr>
        <w:t xml:space="preserve"> </w:t>
      </w:r>
      <w:proofErr w:type="spellStart"/>
      <w:r w:rsidR="00236FE9">
        <w:rPr>
          <w:rFonts w:cs="Arial"/>
          <w:szCs w:val="22"/>
        </w:rPr>
        <w:t>Svojnice</w:t>
      </w:r>
      <w:proofErr w:type="spellEnd"/>
      <w:r w:rsidR="00236FE9">
        <w:rPr>
          <w:rFonts w:cs="Arial"/>
          <w:szCs w:val="22"/>
        </w:rPr>
        <w:t xml:space="preserve"> a polní cesty C3 a C4 – </w:t>
      </w:r>
      <w:proofErr w:type="spellStart"/>
      <w:r w:rsidR="00236FE9">
        <w:rPr>
          <w:rFonts w:cs="Arial"/>
          <w:szCs w:val="22"/>
        </w:rPr>
        <w:t>KoPÚ</w:t>
      </w:r>
      <w:proofErr w:type="spellEnd"/>
      <w:r w:rsidR="00236FE9">
        <w:rPr>
          <w:rFonts w:cs="Arial"/>
          <w:szCs w:val="22"/>
        </w:rPr>
        <w:t xml:space="preserve"> </w:t>
      </w:r>
      <w:proofErr w:type="spellStart"/>
      <w:r w:rsidR="00236FE9">
        <w:rPr>
          <w:rFonts w:cs="Arial"/>
          <w:szCs w:val="22"/>
        </w:rPr>
        <w:t>Protivec</w:t>
      </w:r>
      <w:proofErr w:type="spellEnd"/>
      <w:r w:rsidR="00911389" w:rsidRPr="00C91072">
        <w:rPr>
          <w:rFonts w:cs="Arial"/>
          <w:szCs w:val="22"/>
        </w:rPr>
        <w:t>“</w:t>
      </w:r>
      <w:bookmarkEnd w:id="0"/>
      <w:bookmarkEnd w:id="1"/>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236FE9">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1953EFAB" w:rsidR="00691542" w:rsidRPr="00AB5E77" w:rsidRDefault="00691542" w:rsidP="00D75DD1">
      <w:pPr>
        <w:numPr>
          <w:ilvl w:val="0"/>
          <w:numId w:val="5"/>
        </w:numPr>
        <w:spacing w:after="0" w:line="240"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který</w:t>
      </w:r>
      <w:r w:rsidR="00236FE9">
        <w:rPr>
          <w:rFonts w:cs="Arial"/>
          <w:szCs w:val="22"/>
        </w:rPr>
        <w:t xml:space="preserve"> </w:t>
      </w:r>
      <w:r w:rsidRPr="00AB5E77">
        <w:rPr>
          <w:rFonts w:cs="Arial"/>
          <w:szCs w:val="22"/>
        </w:rPr>
        <w:t>je součástí projektové do</w:t>
      </w:r>
      <w:r w:rsidR="00172F6A" w:rsidRPr="00AB5E77">
        <w:rPr>
          <w:rFonts w:cs="Arial"/>
          <w:szCs w:val="22"/>
        </w:rPr>
        <w:t xml:space="preserve">kumentace na stavbu </w:t>
      </w:r>
      <w:r w:rsidR="00236FE9" w:rsidRPr="00236FE9">
        <w:rPr>
          <w:rFonts w:cs="Arial"/>
          <w:szCs w:val="22"/>
        </w:rPr>
        <w:t xml:space="preserve">„Revitalizace vodoteče, polní cesta NCV5 </w:t>
      </w:r>
      <w:proofErr w:type="spellStart"/>
      <w:r w:rsidR="00236FE9" w:rsidRPr="00236FE9">
        <w:rPr>
          <w:rFonts w:cs="Arial"/>
          <w:szCs w:val="22"/>
        </w:rPr>
        <w:t>KoPÚ</w:t>
      </w:r>
      <w:proofErr w:type="spellEnd"/>
      <w:r w:rsidR="00236FE9" w:rsidRPr="00236FE9">
        <w:rPr>
          <w:rFonts w:cs="Arial"/>
          <w:szCs w:val="22"/>
        </w:rPr>
        <w:t xml:space="preserve"> </w:t>
      </w:r>
      <w:proofErr w:type="spellStart"/>
      <w:r w:rsidR="00236FE9" w:rsidRPr="00236FE9">
        <w:rPr>
          <w:rFonts w:cs="Arial"/>
          <w:szCs w:val="22"/>
        </w:rPr>
        <w:t>Svojnice</w:t>
      </w:r>
      <w:proofErr w:type="spellEnd"/>
      <w:r w:rsidR="00236FE9" w:rsidRPr="00236FE9">
        <w:rPr>
          <w:rFonts w:cs="Arial"/>
          <w:szCs w:val="22"/>
        </w:rPr>
        <w:t xml:space="preserve"> a polní cesty C3 a C4 – </w:t>
      </w:r>
      <w:proofErr w:type="spellStart"/>
      <w:r w:rsidR="00236FE9" w:rsidRPr="00236FE9">
        <w:rPr>
          <w:rFonts w:cs="Arial"/>
          <w:szCs w:val="22"/>
        </w:rPr>
        <w:t>KoPÚ</w:t>
      </w:r>
      <w:proofErr w:type="spellEnd"/>
      <w:r w:rsidR="00236FE9" w:rsidRPr="00236FE9">
        <w:rPr>
          <w:rFonts w:cs="Arial"/>
          <w:szCs w:val="22"/>
        </w:rPr>
        <w:t xml:space="preserve"> </w:t>
      </w:r>
      <w:proofErr w:type="spellStart"/>
      <w:r w:rsidR="00236FE9" w:rsidRPr="00236FE9">
        <w:rPr>
          <w:rFonts w:cs="Arial"/>
          <w:szCs w:val="22"/>
        </w:rPr>
        <w:t>Protivec</w:t>
      </w:r>
      <w:proofErr w:type="spellEnd"/>
      <w:r w:rsidR="00236FE9" w:rsidRPr="00236FE9">
        <w:rPr>
          <w:rFonts w:cs="Arial"/>
          <w:szCs w:val="22"/>
        </w:rPr>
        <w:t>“</w:t>
      </w:r>
      <w:r w:rsidR="00172F6A" w:rsidRPr="00AB5E77">
        <w:rPr>
          <w:rFonts w:cs="Arial"/>
          <w:szCs w:val="22"/>
        </w:rPr>
        <w:t xml:space="preserve">. Aktualizovaný plán BOZP na </w:t>
      </w:r>
      <w:r w:rsidR="00A64797">
        <w:rPr>
          <w:rFonts w:cs="Arial"/>
          <w:szCs w:val="22"/>
        </w:rPr>
        <w:t>stavbu</w:t>
      </w:r>
      <w:r w:rsidR="00236FE9">
        <w:rPr>
          <w:rFonts w:cs="Arial"/>
          <w:szCs w:val="22"/>
        </w:rPr>
        <w:t xml:space="preserve"> </w:t>
      </w:r>
      <w:r w:rsidR="00236FE9" w:rsidRPr="00236FE9">
        <w:rPr>
          <w:rFonts w:cs="Arial"/>
          <w:szCs w:val="22"/>
        </w:rPr>
        <w:t xml:space="preserve">„Revitalizace vodoteče, polní cesta NCV5 </w:t>
      </w:r>
      <w:proofErr w:type="spellStart"/>
      <w:r w:rsidR="00236FE9" w:rsidRPr="00236FE9">
        <w:rPr>
          <w:rFonts w:cs="Arial"/>
          <w:szCs w:val="22"/>
        </w:rPr>
        <w:t>KoPÚ</w:t>
      </w:r>
      <w:proofErr w:type="spellEnd"/>
      <w:r w:rsidR="00236FE9" w:rsidRPr="00236FE9">
        <w:rPr>
          <w:rFonts w:cs="Arial"/>
          <w:szCs w:val="22"/>
        </w:rPr>
        <w:t xml:space="preserve"> </w:t>
      </w:r>
      <w:proofErr w:type="spellStart"/>
      <w:r w:rsidR="00236FE9" w:rsidRPr="00236FE9">
        <w:rPr>
          <w:rFonts w:cs="Arial"/>
          <w:szCs w:val="22"/>
        </w:rPr>
        <w:t>Svojnice</w:t>
      </w:r>
      <w:proofErr w:type="spellEnd"/>
      <w:r w:rsidR="00236FE9" w:rsidRPr="00236FE9">
        <w:rPr>
          <w:rFonts w:cs="Arial"/>
          <w:szCs w:val="22"/>
        </w:rPr>
        <w:t xml:space="preserve"> a polní cesty C3 a C4 – </w:t>
      </w:r>
      <w:proofErr w:type="spellStart"/>
      <w:r w:rsidR="00236FE9" w:rsidRPr="00236FE9">
        <w:rPr>
          <w:rFonts w:cs="Arial"/>
          <w:szCs w:val="22"/>
        </w:rPr>
        <w:t>KoPÚ</w:t>
      </w:r>
      <w:proofErr w:type="spellEnd"/>
      <w:r w:rsidR="00236FE9" w:rsidRPr="00236FE9">
        <w:rPr>
          <w:rFonts w:cs="Arial"/>
          <w:szCs w:val="22"/>
        </w:rPr>
        <w:t xml:space="preserve"> </w:t>
      </w:r>
      <w:proofErr w:type="spellStart"/>
      <w:r w:rsidR="00236FE9" w:rsidRPr="00236FE9">
        <w:rPr>
          <w:rFonts w:cs="Arial"/>
          <w:szCs w:val="22"/>
        </w:rPr>
        <w:t>Protivec</w:t>
      </w:r>
      <w:proofErr w:type="spellEnd"/>
      <w:r w:rsidR="00236FE9" w:rsidRPr="00236FE9">
        <w:rPr>
          <w:rFonts w:cs="Arial"/>
          <w:szCs w:val="22"/>
        </w:rPr>
        <w:t>“</w:t>
      </w:r>
      <w:r w:rsidR="00A64797">
        <w:rPr>
          <w:rFonts w:cs="Arial"/>
          <w:szCs w:val="22"/>
        </w:rPr>
        <w:t xml:space="preserve"> </w:t>
      </w:r>
      <w:r w:rsidRPr="00AB5E77">
        <w:rPr>
          <w:rFonts w:cs="Arial"/>
          <w:szCs w:val="22"/>
        </w:rPr>
        <w:t xml:space="preserve">bude </w:t>
      </w:r>
      <w:r w:rsidRPr="00AB5E77">
        <w:rPr>
          <w:rFonts w:cs="Arial"/>
          <w:color w:val="000000"/>
          <w:szCs w:val="22"/>
        </w:rPr>
        <w:t>obsahovat údaje, informace a postupy zpracované v podrobnostech nezbytných pro zajištění bezpečné a</w:t>
      </w:r>
      <w:r w:rsidR="003B2FA1" w:rsidRPr="00AB5E77">
        <w:rPr>
          <w:rFonts w:cs="Arial"/>
          <w:color w:val="000000"/>
          <w:szCs w:val="22"/>
        </w:rPr>
        <w:t> </w:t>
      </w:r>
      <w:r w:rsidRPr="00AB5E77">
        <w:rPr>
          <w:rFonts w:cs="Arial"/>
          <w:color w:val="000000"/>
          <w:szCs w:val="22"/>
        </w:rPr>
        <w:t>zdraví neohrožující práce, 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4071B50D"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236FE9">
        <w:rPr>
          <w:rFonts w:cs="Arial"/>
          <w:szCs w:val="22"/>
        </w:rPr>
        <w:t xml:space="preserve"> </w:t>
      </w:r>
      <w:r w:rsidR="00236FE9" w:rsidRPr="00236FE9">
        <w:rPr>
          <w:rFonts w:cs="Arial"/>
          <w:szCs w:val="22"/>
        </w:rPr>
        <w:t xml:space="preserve">„Revitalizace vodoteče, polní cesta NCV5 </w:t>
      </w:r>
      <w:proofErr w:type="spellStart"/>
      <w:r w:rsidR="00236FE9" w:rsidRPr="00236FE9">
        <w:rPr>
          <w:rFonts w:cs="Arial"/>
          <w:szCs w:val="22"/>
        </w:rPr>
        <w:t>KoPÚ</w:t>
      </w:r>
      <w:proofErr w:type="spellEnd"/>
      <w:r w:rsidR="00236FE9" w:rsidRPr="00236FE9">
        <w:rPr>
          <w:rFonts w:cs="Arial"/>
          <w:szCs w:val="22"/>
        </w:rPr>
        <w:t xml:space="preserve"> </w:t>
      </w:r>
      <w:proofErr w:type="spellStart"/>
      <w:r w:rsidR="00236FE9" w:rsidRPr="00236FE9">
        <w:rPr>
          <w:rFonts w:cs="Arial"/>
          <w:szCs w:val="22"/>
        </w:rPr>
        <w:t>Svojnice</w:t>
      </w:r>
      <w:proofErr w:type="spellEnd"/>
      <w:r w:rsidR="00236FE9" w:rsidRPr="00236FE9">
        <w:rPr>
          <w:rFonts w:cs="Arial"/>
          <w:szCs w:val="22"/>
        </w:rPr>
        <w:t xml:space="preserve"> a polní cesty C3 a C4 – </w:t>
      </w:r>
      <w:proofErr w:type="spellStart"/>
      <w:r w:rsidR="00236FE9" w:rsidRPr="00236FE9">
        <w:rPr>
          <w:rFonts w:cs="Arial"/>
          <w:szCs w:val="22"/>
        </w:rPr>
        <w:t>KoPÚ</w:t>
      </w:r>
      <w:proofErr w:type="spellEnd"/>
      <w:r w:rsidR="00236FE9" w:rsidRPr="00236FE9">
        <w:rPr>
          <w:rFonts w:cs="Arial"/>
          <w:szCs w:val="22"/>
        </w:rPr>
        <w:t xml:space="preserve"> </w:t>
      </w:r>
      <w:proofErr w:type="spellStart"/>
      <w:r w:rsidR="00236FE9" w:rsidRPr="00236FE9">
        <w:rPr>
          <w:rFonts w:cs="Arial"/>
          <w:szCs w:val="22"/>
        </w:rPr>
        <w:t>Protivec</w:t>
      </w:r>
      <w:proofErr w:type="spellEnd"/>
      <w:r w:rsidR="00236FE9" w:rsidRPr="00236FE9">
        <w:rPr>
          <w:rFonts w:cs="Arial"/>
          <w:szCs w:val="22"/>
        </w:rPr>
        <w:t>“</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264A986F"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236FE9" w:rsidRPr="00236FE9">
        <w:rPr>
          <w:rFonts w:cs="Arial"/>
          <w:szCs w:val="22"/>
        </w:rPr>
        <w:t xml:space="preserve">od května 2024 do 30. listopadu 2024 včetně kolaudace stavby. </w:t>
      </w:r>
      <w:r w:rsidR="005C6F64" w:rsidRPr="00AB5E77">
        <w:rPr>
          <w:rFonts w:cs="Arial"/>
          <w:szCs w:val="22"/>
        </w:rPr>
        <w:t>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8763C">
        <w:rPr>
          <w:rFonts w:cs="Arial"/>
          <w:bCs/>
          <w:szCs w:val="22"/>
        </w:rPr>
        <w:t>0</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Default="00053E0D" w:rsidP="001E1CC6">
      <w:pPr>
        <w:pStyle w:val="TSTextlnkuslovan"/>
        <w:spacing w:after="0" w:line="240" w:lineRule="auto"/>
        <w:jc w:val="both"/>
        <w:rPr>
          <w:rFonts w:cs="Arial"/>
          <w:szCs w:val="22"/>
          <w:lang w:val="cs-CZ"/>
        </w:rPr>
      </w:pPr>
    </w:p>
    <w:p w14:paraId="39D38BCC" w14:textId="77777777" w:rsidR="00236FE9" w:rsidRDefault="00236FE9" w:rsidP="001E1CC6">
      <w:pPr>
        <w:pStyle w:val="TSTextlnkuslovan"/>
        <w:spacing w:after="0" w:line="240" w:lineRule="auto"/>
        <w:jc w:val="both"/>
        <w:rPr>
          <w:rFonts w:cs="Arial"/>
          <w:szCs w:val="22"/>
          <w:lang w:val="cs-CZ"/>
        </w:rPr>
      </w:pPr>
    </w:p>
    <w:p w14:paraId="372E2B54" w14:textId="77777777" w:rsidR="00236FE9" w:rsidRPr="00AB5E77" w:rsidRDefault="00236FE9"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17A9BC5E" w14:textId="77777777" w:rsidR="00236FE9" w:rsidRPr="00322DBB" w:rsidRDefault="00236FE9" w:rsidP="00236FE9">
      <w:pPr>
        <w:pStyle w:val="TSTextlnkuslovan"/>
        <w:spacing w:after="0" w:line="240" w:lineRule="auto"/>
        <w:ind w:left="792"/>
        <w:jc w:val="both"/>
        <w:rPr>
          <w:rFonts w:cs="Arial"/>
          <w:szCs w:val="22"/>
        </w:rPr>
      </w:pPr>
      <w:r w:rsidRPr="00322DBB">
        <w:rPr>
          <w:rFonts w:cs="Arial"/>
          <w:szCs w:val="22"/>
        </w:rPr>
        <w:t>Jméno:</w:t>
      </w:r>
      <w:r w:rsidRPr="00322DBB">
        <w:rPr>
          <w:rFonts w:cs="Arial"/>
          <w:szCs w:val="22"/>
        </w:rPr>
        <w:tab/>
        <w:t xml:space="preserve">Ing. </w:t>
      </w:r>
      <w:r w:rsidRPr="00322DBB">
        <w:rPr>
          <w:rFonts w:cs="Arial"/>
          <w:szCs w:val="22"/>
          <w:lang w:val="cs-CZ"/>
        </w:rPr>
        <w:t>Jaroslav Kučera</w:t>
      </w:r>
      <w:r w:rsidRPr="00322DBB">
        <w:rPr>
          <w:rFonts w:cs="Arial"/>
          <w:szCs w:val="22"/>
        </w:rPr>
        <w:t xml:space="preserve"> </w:t>
      </w:r>
    </w:p>
    <w:p w14:paraId="65AC3398" w14:textId="77777777" w:rsidR="00236FE9" w:rsidRPr="00322DBB" w:rsidRDefault="00236FE9" w:rsidP="00236FE9">
      <w:pPr>
        <w:pStyle w:val="TSTextlnkuslovan"/>
        <w:spacing w:after="0" w:line="240" w:lineRule="auto"/>
        <w:ind w:left="792"/>
        <w:jc w:val="both"/>
        <w:rPr>
          <w:rFonts w:cs="Arial"/>
          <w:szCs w:val="22"/>
          <w:lang w:val="cs-CZ"/>
        </w:rPr>
      </w:pPr>
      <w:r w:rsidRPr="00322DBB">
        <w:rPr>
          <w:rFonts w:cs="Arial"/>
          <w:szCs w:val="22"/>
        </w:rPr>
        <w:t>Telefon:</w:t>
      </w:r>
      <w:r w:rsidRPr="00322DBB">
        <w:rPr>
          <w:rFonts w:cs="Arial"/>
          <w:szCs w:val="22"/>
        </w:rPr>
        <w:tab/>
      </w:r>
      <w:r w:rsidRPr="00322DBB">
        <w:rPr>
          <w:rFonts w:cs="Arial"/>
          <w:szCs w:val="22"/>
          <w:lang w:val="cs-CZ"/>
        </w:rPr>
        <w:t>702 126 656</w:t>
      </w:r>
    </w:p>
    <w:p w14:paraId="1A443912" w14:textId="77777777" w:rsidR="00236FE9" w:rsidRPr="00322DBB" w:rsidRDefault="00236FE9" w:rsidP="00236FE9">
      <w:pPr>
        <w:pStyle w:val="TSTextlnkuslovan"/>
        <w:spacing w:after="0" w:line="240" w:lineRule="auto"/>
        <w:ind w:left="792"/>
        <w:jc w:val="both"/>
        <w:rPr>
          <w:rStyle w:val="Hypertextovodkaz"/>
          <w:rFonts w:cs="Arial"/>
          <w:szCs w:val="22"/>
          <w:lang w:val="cs-CZ"/>
        </w:rPr>
      </w:pPr>
      <w:r w:rsidRPr="00322DBB">
        <w:rPr>
          <w:rFonts w:cs="Arial"/>
          <w:szCs w:val="22"/>
        </w:rPr>
        <w:t>E-mail:</w:t>
      </w:r>
      <w:r w:rsidRPr="00322DBB">
        <w:rPr>
          <w:rFonts w:cs="Arial"/>
          <w:szCs w:val="22"/>
        </w:rPr>
        <w:tab/>
      </w:r>
      <w:r w:rsidRPr="00322DBB">
        <w:rPr>
          <w:rStyle w:val="Hypertextovodkaz"/>
          <w:rFonts w:cs="Arial"/>
          <w:szCs w:val="22"/>
          <w:lang w:val="cs-CZ"/>
        </w:rPr>
        <w:t>j.</w:t>
      </w:r>
      <w:r>
        <w:rPr>
          <w:rStyle w:val="Hypertextovodkaz"/>
          <w:rFonts w:cs="Arial"/>
          <w:szCs w:val="22"/>
          <w:lang w:val="cs-CZ"/>
        </w:rPr>
        <w:t>kucera</w:t>
      </w:r>
      <w:r w:rsidRPr="00322DBB">
        <w:rPr>
          <w:rStyle w:val="Hypertextovodkaz"/>
          <w:rFonts w:cs="Arial"/>
          <w:szCs w:val="22"/>
          <w:lang w:val="cs-CZ"/>
        </w:rPr>
        <w:t>@spucr.cz</w:t>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3361B490" w14:textId="77777777" w:rsidR="0096683C" w:rsidRPr="00AB5E77" w:rsidRDefault="0096683C" w:rsidP="0096683C">
      <w:pPr>
        <w:pStyle w:val="TSTextlnkuslovan"/>
        <w:ind w:left="737"/>
        <w:jc w:val="both"/>
        <w:rPr>
          <w:rFonts w:cs="Arial"/>
          <w:szCs w:val="22"/>
          <w:lang w:val="cs-CZ"/>
        </w:rPr>
      </w:pP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59D2367C"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8763C">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8763C">
        <w:rPr>
          <w:rFonts w:cs="Arial"/>
          <w:bCs/>
          <w:szCs w:val="22"/>
        </w:rPr>
        <w:t>Čl. 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2298C979"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68763C">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195DFBAA" w14:textId="77777777" w:rsidR="00236FE9" w:rsidRPr="001E1CC6" w:rsidRDefault="00236FE9" w:rsidP="00236FE9">
      <w:pPr>
        <w:pStyle w:val="TSTextlnkuslovan"/>
        <w:spacing w:after="0" w:line="240" w:lineRule="auto"/>
        <w:ind w:left="851"/>
        <w:jc w:val="both"/>
        <w:rPr>
          <w:rFonts w:cs="Arial"/>
          <w:szCs w:val="22"/>
        </w:rPr>
      </w:pPr>
    </w:p>
    <w:p w14:paraId="45522D6A" w14:textId="51FA0DD9"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F53C9E4"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Strany této smlouvy si sjednávají pro případ, že příkazník poruší některou povinnost, uvedenou v této smlouvě, povinnost příkazníka zaplatit příkazci smluvní pokutu ve výši 0,2% z ceny díla včetně DPH</w:t>
      </w:r>
      <w:r w:rsidR="00236FE9">
        <w:rPr>
          <w:rFonts w:cs="Arial"/>
          <w:szCs w:val="22"/>
          <w:lang w:val="cs-CZ"/>
        </w:rPr>
        <w:t xml:space="preserve"> </w:t>
      </w:r>
      <w:r w:rsidR="005837AC" w:rsidRPr="00236FE9">
        <w:rPr>
          <w:rFonts w:cs="Arial"/>
          <w:szCs w:val="22"/>
          <w:lang w:val="cs-CZ"/>
        </w:rPr>
        <w:t xml:space="preserve">min. 2 500 </w:t>
      </w:r>
      <w:proofErr w:type="spellStart"/>
      <w:proofErr w:type="gramStart"/>
      <w:r w:rsidR="005837AC" w:rsidRPr="00236FE9">
        <w:rPr>
          <w:rFonts w:cs="Arial"/>
          <w:szCs w:val="22"/>
          <w:lang w:val="cs-CZ"/>
        </w:rPr>
        <w:t>Kč</w:t>
      </w:r>
      <w:proofErr w:type="spellEnd"/>
      <w:r w:rsidR="005837AC" w:rsidRPr="00236FE9">
        <w:rPr>
          <w:rFonts w:cs="Arial"/>
          <w:szCs w:val="22"/>
          <w:lang w:val="cs-CZ"/>
        </w:rPr>
        <w:t xml:space="preserve">  </w:t>
      </w:r>
      <w:r w:rsidRPr="00901693">
        <w:rPr>
          <w:rFonts w:cs="Arial"/>
          <w:szCs w:val="22"/>
          <w:lang w:val="cs-CZ"/>
        </w:rPr>
        <w:t>za</w:t>
      </w:r>
      <w:proofErr w:type="gramEnd"/>
      <w:r w:rsidRPr="00901693">
        <w:rPr>
          <w:rFonts w:cs="Arial"/>
          <w:szCs w:val="22"/>
          <w:lang w:val="cs-CZ"/>
        </w:rPr>
        <w:t xml:space="preserve">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6E5ABF50" w:rsidR="008C6B82" w:rsidRDefault="00901693" w:rsidP="00EF42DD">
      <w:pPr>
        <w:spacing w:after="0" w:line="240" w:lineRule="auto"/>
        <w:ind w:left="851" w:hanging="851"/>
        <w:jc w:val="both"/>
        <w:rPr>
          <w:rFonts w:cs="Arial"/>
          <w:szCs w:val="22"/>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sidRPr="00236FE9">
        <w:rPr>
          <w:rFonts w:cs="Arial"/>
          <w:szCs w:val="22"/>
        </w:rPr>
        <w:t xml:space="preserve"> </w:t>
      </w:r>
      <w:r w:rsidR="00236FE9" w:rsidRPr="00236FE9">
        <w:rPr>
          <w:rFonts w:cs="Arial"/>
          <w:szCs w:val="22"/>
        </w:rPr>
        <w:t>220</w:t>
      </w:r>
      <w:proofErr w:type="gramEnd"/>
      <w:r w:rsidR="00236FE9" w:rsidRPr="00236FE9">
        <w:rPr>
          <w:rFonts w:cs="Arial"/>
          <w:szCs w:val="22"/>
        </w:rPr>
        <w:t xml:space="preserve"> 000 </w:t>
      </w:r>
      <w:r w:rsidR="008C6B82" w:rsidRPr="00236FE9">
        <w:rPr>
          <w:rFonts w:cs="Arial"/>
          <w:szCs w:val="22"/>
        </w:rPr>
        <w:t xml:space="preserve">Kč.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1C7EC997" w14:textId="77777777" w:rsidR="00236FE9" w:rsidRPr="008C6B82" w:rsidRDefault="00236FE9" w:rsidP="00EF42DD">
      <w:pPr>
        <w:spacing w:after="0" w:line="240" w:lineRule="auto"/>
        <w:ind w:left="851" w:hanging="851"/>
        <w:jc w:val="both"/>
        <w:rPr>
          <w:rFonts w:ascii="Times New Roman" w:hAnsi="Times New Roman"/>
          <w:sz w:val="24"/>
        </w:rPr>
      </w:pPr>
    </w:p>
    <w:p w14:paraId="70E72511" w14:textId="4B870EF3"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0DFB1E9A"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236FE9" w:rsidRPr="00236FE9">
        <w:rPr>
          <w:rFonts w:cs="Arial"/>
          <w:szCs w:val="22"/>
        </w:rPr>
        <w:t>30. září 2024</w:t>
      </w:r>
      <w:r w:rsidRPr="00236FE9">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Pr="00AB5E77" w:rsidRDefault="00DE290D" w:rsidP="00DE290D">
      <w:pPr>
        <w:pStyle w:val="TSTextlnkuslovan"/>
        <w:spacing w:after="0" w:line="240" w:lineRule="auto"/>
        <w:ind w:left="737"/>
        <w:jc w:val="both"/>
        <w:rPr>
          <w:rFonts w:cs="Arial"/>
          <w:szCs w:val="22"/>
        </w:rPr>
      </w:pPr>
    </w:p>
    <w:p w14:paraId="6815AA25" w14:textId="17555C9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68763C" w:rsidRDefault="00A4503D" w:rsidP="0068763C">
      <w:pPr>
        <w:pStyle w:val="Odstavecseseznamem"/>
        <w:numPr>
          <w:ilvl w:val="1"/>
          <w:numId w:val="6"/>
        </w:numPr>
        <w:spacing w:after="0" w:line="240" w:lineRule="auto"/>
        <w:ind w:left="709" w:hanging="709"/>
        <w:jc w:val="both"/>
        <w:rPr>
          <w:rFonts w:cs="Arial"/>
          <w:bCs/>
          <w:szCs w:val="22"/>
          <w:lang w:val="x-none" w:eastAsia="x-none"/>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68763C" w:rsidRDefault="00E953AF" w:rsidP="00D75DD1">
      <w:pPr>
        <w:pStyle w:val="TSTextlnkuslovan"/>
        <w:numPr>
          <w:ilvl w:val="1"/>
          <w:numId w:val="6"/>
        </w:numPr>
        <w:spacing w:after="0" w:line="240" w:lineRule="auto"/>
        <w:jc w:val="both"/>
        <w:rPr>
          <w:rFonts w:cs="Arial"/>
          <w:bCs/>
          <w:szCs w:val="22"/>
        </w:rPr>
      </w:pPr>
      <w:r w:rsidRPr="0068763C">
        <w:rPr>
          <w:rFonts w:cs="Arial"/>
          <w:bCs/>
          <w:szCs w:val="22"/>
        </w:rPr>
        <w:t xml:space="preserve">Výchozí podklady zůstávají uloženy u </w:t>
      </w:r>
      <w:r w:rsidR="0096051C" w:rsidRPr="00AB5E77">
        <w:rPr>
          <w:rFonts w:cs="Arial"/>
          <w:bCs/>
          <w:szCs w:val="22"/>
        </w:rPr>
        <w:t>příkazníka</w:t>
      </w:r>
      <w:r w:rsidRPr="0068763C">
        <w:rPr>
          <w:rFonts w:cs="Arial"/>
          <w:bCs/>
          <w:szCs w:val="22"/>
        </w:rPr>
        <w:t>.</w:t>
      </w:r>
    </w:p>
    <w:p w14:paraId="21052421" w14:textId="625DA851" w:rsidR="00A15366" w:rsidRPr="0068763C" w:rsidRDefault="00A15366" w:rsidP="00D75DD1">
      <w:pPr>
        <w:pStyle w:val="Odstavecseseznamem"/>
        <w:numPr>
          <w:ilvl w:val="1"/>
          <w:numId w:val="6"/>
        </w:numPr>
        <w:spacing w:after="0"/>
        <w:ind w:left="709" w:hanging="709"/>
        <w:jc w:val="both"/>
        <w:rPr>
          <w:rFonts w:cs="Arial"/>
          <w:bCs/>
          <w:szCs w:val="22"/>
          <w:lang w:val="x-none" w:eastAsia="x-none"/>
        </w:rPr>
      </w:pPr>
      <w:r w:rsidRPr="0068763C">
        <w:rPr>
          <w:rFonts w:cs="Arial"/>
          <w:bCs/>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sidRPr="0068763C">
        <w:rPr>
          <w:rFonts w:cs="Arial"/>
          <w:bCs/>
          <w:szCs w:val="22"/>
          <w:lang w:val="x-none" w:eastAsia="x-none"/>
        </w:rPr>
        <w:t>, ve znění pozdějších předpisů</w:t>
      </w:r>
      <w:r w:rsidRPr="0068763C">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příkazce.</w:t>
      </w:r>
    </w:p>
    <w:p w14:paraId="215B37C5" w14:textId="0A9C404E" w:rsidR="00CD5542" w:rsidRPr="0068763C" w:rsidRDefault="00CD5542" w:rsidP="00D75DD1">
      <w:pPr>
        <w:pStyle w:val="Odstavecseseznamem"/>
        <w:numPr>
          <w:ilvl w:val="1"/>
          <w:numId w:val="6"/>
        </w:numPr>
        <w:spacing w:after="0"/>
        <w:ind w:left="709" w:hanging="709"/>
        <w:jc w:val="both"/>
        <w:rPr>
          <w:rFonts w:cs="Arial"/>
          <w:bCs/>
          <w:szCs w:val="22"/>
          <w:lang w:val="x-none" w:eastAsia="x-none"/>
        </w:rPr>
      </w:pPr>
      <w:r w:rsidRPr="0068763C">
        <w:rPr>
          <w:rFonts w:cs="Arial"/>
          <w:bCs/>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68763C" w:rsidRDefault="00321A56" w:rsidP="00D75DD1">
      <w:pPr>
        <w:pStyle w:val="Odstavecseseznamem"/>
        <w:numPr>
          <w:ilvl w:val="1"/>
          <w:numId w:val="6"/>
        </w:numPr>
        <w:ind w:left="709" w:hanging="709"/>
        <w:jc w:val="both"/>
        <w:rPr>
          <w:rFonts w:cs="Arial"/>
          <w:bCs/>
          <w:szCs w:val="22"/>
          <w:lang w:val="x-none" w:eastAsia="x-none"/>
        </w:rPr>
      </w:pPr>
      <w:r w:rsidRPr="0068763C">
        <w:rPr>
          <w:rFonts w:cs="Arial"/>
          <w:bCs/>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68763C" w:rsidRDefault="00340364" w:rsidP="00D75DD1">
      <w:pPr>
        <w:pStyle w:val="Odstavecseseznamem"/>
        <w:numPr>
          <w:ilvl w:val="1"/>
          <w:numId w:val="6"/>
        </w:numPr>
        <w:spacing w:before="240" w:after="0"/>
        <w:ind w:left="709" w:hanging="709"/>
        <w:jc w:val="both"/>
        <w:rPr>
          <w:rFonts w:cs="Arial"/>
          <w:bCs/>
          <w:szCs w:val="22"/>
          <w:lang w:val="x-none" w:eastAsia="x-none"/>
        </w:rPr>
      </w:pPr>
      <w:r w:rsidRPr="0068763C">
        <w:rPr>
          <w:rFonts w:cs="Arial"/>
          <w:bCs/>
          <w:szCs w:val="22"/>
          <w:lang w:val="x-none" w:eastAsia="x-none"/>
        </w:rPr>
        <w:t>Ustanovení smlouvy je možno měnit nebo zrušit pouze písemnou formou dodatku podepsaným oprávněnými zástupci obou sm</w:t>
      </w:r>
      <w:r w:rsidR="00F97136" w:rsidRPr="0068763C">
        <w:rPr>
          <w:rFonts w:cs="Arial"/>
          <w:bCs/>
          <w:szCs w:val="22"/>
          <w:lang w:val="x-none" w:eastAsia="x-none"/>
        </w:rPr>
        <w:t>luvních stran.</w:t>
      </w:r>
    </w:p>
    <w:p w14:paraId="275D30F8" w14:textId="77777777" w:rsidR="00E953AF" w:rsidRPr="0068763C" w:rsidRDefault="00E953AF" w:rsidP="00D75DD1">
      <w:pPr>
        <w:pStyle w:val="TSTextlnkuslovan"/>
        <w:numPr>
          <w:ilvl w:val="1"/>
          <w:numId w:val="6"/>
        </w:numPr>
        <w:spacing w:after="0" w:line="240" w:lineRule="auto"/>
        <w:ind w:left="709" w:hanging="709"/>
        <w:jc w:val="both"/>
        <w:rPr>
          <w:rFonts w:cs="Arial"/>
          <w:bCs/>
          <w:szCs w:val="22"/>
        </w:rPr>
      </w:pPr>
      <w:r w:rsidRPr="0068763C">
        <w:rPr>
          <w:rFonts w:cs="Arial"/>
          <w:bCs/>
          <w:szCs w:val="22"/>
        </w:rPr>
        <w:t xml:space="preserve">Smluvní vztahy neupravené touto smlouvou se řídí příslušnými ustanoveními </w:t>
      </w:r>
      <w:r w:rsidR="00A3138A" w:rsidRPr="00AB5E77">
        <w:rPr>
          <w:rFonts w:cs="Arial"/>
          <w:bCs/>
          <w:szCs w:val="22"/>
        </w:rPr>
        <w:t>občanského</w:t>
      </w:r>
      <w:r w:rsidR="00A3138A" w:rsidRPr="0068763C">
        <w:rPr>
          <w:rFonts w:cs="Arial"/>
          <w:bCs/>
          <w:szCs w:val="22"/>
        </w:rPr>
        <w:t xml:space="preserve"> </w:t>
      </w:r>
      <w:r w:rsidRPr="0068763C">
        <w:rPr>
          <w:rFonts w:cs="Arial"/>
          <w:bCs/>
          <w:szCs w:val="22"/>
        </w:rPr>
        <w:t>zákoníku.</w:t>
      </w:r>
    </w:p>
    <w:p w14:paraId="3D2C5A02" w14:textId="77414B27" w:rsidR="00E953AF" w:rsidRPr="0068763C" w:rsidRDefault="00E953AF" w:rsidP="00D75DD1">
      <w:pPr>
        <w:pStyle w:val="TSTextlnkuslovan"/>
        <w:numPr>
          <w:ilvl w:val="1"/>
          <w:numId w:val="6"/>
        </w:numPr>
        <w:spacing w:after="0" w:line="240" w:lineRule="auto"/>
        <w:ind w:left="709" w:hanging="709"/>
        <w:jc w:val="both"/>
        <w:rPr>
          <w:rFonts w:cs="Arial"/>
          <w:bCs/>
          <w:szCs w:val="22"/>
        </w:rPr>
      </w:pPr>
      <w:r w:rsidRPr="0068763C">
        <w:rPr>
          <w:rFonts w:cs="Arial"/>
          <w:bCs/>
          <w:szCs w:val="22"/>
        </w:rPr>
        <w:t xml:space="preserve">Tato smlouva je </w:t>
      </w:r>
      <w:r w:rsidR="0068763C" w:rsidRPr="0068763C">
        <w:rPr>
          <w:rFonts w:cs="Arial"/>
          <w:bCs/>
          <w:szCs w:val="22"/>
        </w:rPr>
        <w:t>vyhotovena elektronicky</w:t>
      </w:r>
      <w:r w:rsidR="0085245C" w:rsidRPr="0068763C">
        <w:rPr>
          <w:rFonts w:cs="Arial"/>
          <w:bCs/>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68763C">
        <w:rPr>
          <w:rFonts w:cs="Arial"/>
          <w:bCs/>
          <w:szCs w:val="22"/>
        </w:rPr>
        <w:t xml:space="preserve">Smluvní </w:t>
      </w:r>
      <w:proofErr w:type="gramStart"/>
      <w:r w:rsidRPr="0068763C">
        <w:rPr>
          <w:rFonts w:cs="Arial"/>
          <w:bCs/>
          <w:szCs w:val="22"/>
        </w:rPr>
        <w:t>strany  prohlašují</w:t>
      </w:r>
      <w:proofErr w:type="gramEnd"/>
      <w:r w:rsidRPr="0068763C">
        <w:rPr>
          <w:rFonts w:cs="Arial"/>
          <w:bCs/>
          <w:szCs w:val="22"/>
        </w:rPr>
        <w:t>, že smlouva byla sjednána na základě jejich pravé a svobodné vůle, že si její obsah přečetly a bezvýhradně s ním souhlasí</w:t>
      </w:r>
      <w:r w:rsidRPr="00321A56">
        <w:rPr>
          <w:rFonts w:cs="Arial"/>
          <w:szCs w:val="22"/>
          <w:lang w:val="cs-CZ"/>
        </w:rPr>
        <w:t>,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F0FD4">
            <w:pPr>
              <w:pStyle w:val="TSTextlnkuslovan"/>
              <w:jc w:val="center"/>
              <w:rPr>
                <w:rFonts w:cs="Arial"/>
                <w:szCs w:val="22"/>
                <w:lang w:val="cs-CZ" w:eastAsia="cs-CZ"/>
              </w:rPr>
            </w:pPr>
          </w:p>
        </w:tc>
        <w:tc>
          <w:tcPr>
            <w:tcW w:w="4423" w:type="dxa"/>
            <w:shd w:val="clear" w:color="auto" w:fill="auto"/>
          </w:tcPr>
          <w:p w14:paraId="2EFAFA1F" w14:textId="77777777" w:rsidR="004D0A9D" w:rsidRPr="00AB5E77" w:rsidRDefault="004D0A9D" w:rsidP="00DF0FD4">
            <w:pPr>
              <w:pStyle w:val="TSTextlnkuslovan"/>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4CF3814F" w14:textId="77777777" w:rsidR="00074AF2" w:rsidRPr="00AB5E77" w:rsidRDefault="00074AF2" w:rsidP="00DF0FD4">
            <w:pPr>
              <w:pStyle w:val="TSTextlnkuslovan"/>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68763C" w:rsidRPr="003705AB" w14:paraId="13D50E17" w14:textId="77777777" w:rsidTr="004D3DFF">
        <w:tc>
          <w:tcPr>
            <w:tcW w:w="4422" w:type="dxa"/>
            <w:shd w:val="clear" w:color="auto" w:fill="auto"/>
          </w:tcPr>
          <w:p w14:paraId="0A8F58F4" w14:textId="2B080229" w:rsidR="0068763C" w:rsidRPr="00AB5E77" w:rsidRDefault="0068763C" w:rsidP="0068763C">
            <w:pPr>
              <w:pStyle w:val="TSTextlnkuslovan"/>
              <w:spacing w:after="0" w:line="240" w:lineRule="auto"/>
              <w:jc w:val="center"/>
              <w:rPr>
                <w:rFonts w:cs="Arial"/>
                <w:szCs w:val="22"/>
                <w:lang w:val="cs-CZ" w:eastAsia="cs-CZ"/>
              </w:rPr>
            </w:pPr>
            <w:r w:rsidRPr="007405C6">
              <w:rPr>
                <w:rFonts w:cs="Arial"/>
                <w:sz w:val="20"/>
                <w:szCs w:val="20"/>
                <w:lang w:val="cs-CZ" w:eastAsia="cs-CZ"/>
              </w:rPr>
              <w:t>Ing. František Šebesta</w:t>
            </w:r>
          </w:p>
        </w:tc>
        <w:tc>
          <w:tcPr>
            <w:tcW w:w="4423" w:type="dxa"/>
            <w:shd w:val="clear" w:color="auto" w:fill="auto"/>
            <w:vAlign w:val="center"/>
          </w:tcPr>
          <w:p w14:paraId="38544482" w14:textId="77777777" w:rsidR="0068763C" w:rsidRPr="00AB5E77" w:rsidRDefault="0068763C" w:rsidP="0068763C">
            <w:pPr>
              <w:pStyle w:val="TSTextlnkuslovan"/>
              <w:spacing w:after="0" w:line="240" w:lineRule="auto"/>
              <w:jc w:val="center"/>
              <w:rPr>
                <w:rFonts w:cs="Arial"/>
                <w:szCs w:val="22"/>
                <w:lang w:val="cs-CZ" w:eastAsia="cs-CZ"/>
              </w:rPr>
            </w:pPr>
          </w:p>
        </w:tc>
      </w:tr>
      <w:tr w:rsidR="0068763C" w:rsidRPr="003705AB" w14:paraId="4A67AE84" w14:textId="77777777" w:rsidTr="004D3DFF">
        <w:tc>
          <w:tcPr>
            <w:tcW w:w="4422" w:type="dxa"/>
            <w:shd w:val="clear" w:color="auto" w:fill="auto"/>
          </w:tcPr>
          <w:p w14:paraId="6F8A3A2E" w14:textId="2D59A9B6" w:rsidR="0068763C" w:rsidRPr="00AB5E77" w:rsidRDefault="0068763C" w:rsidP="0068763C">
            <w:pPr>
              <w:pStyle w:val="TSTextlnkuslovan"/>
              <w:spacing w:after="0" w:line="240" w:lineRule="auto"/>
              <w:rPr>
                <w:rFonts w:cs="Arial"/>
                <w:szCs w:val="22"/>
                <w:lang w:val="cs-CZ" w:eastAsia="cs-CZ"/>
              </w:rPr>
            </w:pPr>
            <w:r>
              <w:rPr>
                <w:rFonts w:cs="Arial"/>
                <w:sz w:val="20"/>
                <w:szCs w:val="20"/>
                <w:lang w:val="cs-CZ" w:eastAsia="cs-CZ"/>
              </w:rPr>
              <w:t xml:space="preserve">             </w:t>
            </w:r>
            <w:r w:rsidRPr="007405C6">
              <w:rPr>
                <w:rFonts w:cs="Arial"/>
                <w:sz w:val="20"/>
                <w:szCs w:val="20"/>
                <w:lang w:val="cs-CZ" w:eastAsia="cs-CZ"/>
              </w:rPr>
              <w:t>vedoucí Pobočky Prachatice</w:t>
            </w:r>
          </w:p>
        </w:tc>
        <w:tc>
          <w:tcPr>
            <w:tcW w:w="4423" w:type="dxa"/>
            <w:shd w:val="clear" w:color="auto" w:fill="auto"/>
            <w:vAlign w:val="center"/>
          </w:tcPr>
          <w:p w14:paraId="24E6EEE6" w14:textId="77777777" w:rsidR="0068763C" w:rsidRPr="00AB5E77" w:rsidRDefault="0068763C" w:rsidP="0068763C">
            <w:pPr>
              <w:pStyle w:val="TSTextlnkuslovan"/>
              <w:spacing w:after="0" w:line="240" w:lineRule="auto"/>
              <w:jc w:val="center"/>
              <w:rPr>
                <w:rFonts w:cs="Arial"/>
                <w:szCs w:val="22"/>
                <w:lang w:val="cs-CZ" w:eastAsia="cs-CZ"/>
              </w:rPr>
            </w:pPr>
          </w:p>
        </w:tc>
      </w:tr>
      <w:tr w:rsidR="0068763C" w:rsidRPr="003705AB" w14:paraId="2B420542" w14:textId="77777777" w:rsidTr="004D3DFF">
        <w:tc>
          <w:tcPr>
            <w:tcW w:w="4422" w:type="dxa"/>
            <w:shd w:val="clear" w:color="auto" w:fill="auto"/>
          </w:tcPr>
          <w:p w14:paraId="069EEA4E" w14:textId="71F18833" w:rsidR="0068763C" w:rsidRPr="00AB5E77" w:rsidRDefault="0068763C" w:rsidP="0068763C">
            <w:pPr>
              <w:pStyle w:val="TSTextlnkuslovan"/>
              <w:spacing w:after="0" w:line="240" w:lineRule="auto"/>
              <w:jc w:val="center"/>
              <w:rPr>
                <w:rFonts w:cs="Arial"/>
                <w:szCs w:val="22"/>
                <w:lang w:val="cs-CZ" w:eastAsia="cs-CZ"/>
              </w:rPr>
            </w:pPr>
            <w:r w:rsidRPr="007405C6">
              <w:rPr>
                <w:rFonts w:cs="Arial"/>
                <w:sz w:val="20"/>
                <w:szCs w:val="20"/>
                <w:lang w:val="cs-CZ" w:eastAsia="cs-CZ"/>
              </w:rPr>
              <w:t>Státní pozemkový úřad</w:t>
            </w:r>
          </w:p>
        </w:tc>
        <w:tc>
          <w:tcPr>
            <w:tcW w:w="4423" w:type="dxa"/>
            <w:shd w:val="clear" w:color="auto" w:fill="auto"/>
            <w:vAlign w:val="center"/>
          </w:tcPr>
          <w:p w14:paraId="198F587A" w14:textId="77777777" w:rsidR="0068763C" w:rsidRPr="00AB5E77" w:rsidRDefault="0068763C" w:rsidP="0068763C">
            <w:pPr>
              <w:pStyle w:val="TSTextlnkuslovan"/>
              <w:spacing w:after="0" w:line="240" w:lineRule="auto"/>
              <w:jc w:val="center"/>
              <w:rPr>
                <w:rFonts w:cs="Arial"/>
                <w:szCs w:val="22"/>
                <w:lang w:val="cs-CZ" w:eastAsia="cs-CZ"/>
              </w:rPr>
            </w:pPr>
          </w:p>
        </w:tc>
      </w:tr>
      <w:tr w:rsidR="0068763C" w:rsidRPr="003705AB" w14:paraId="36875DD4" w14:textId="77777777" w:rsidTr="004D3DFF">
        <w:tc>
          <w:tcPr>
            <w:tcW w:w="4422" w:type="dxa"/>
            <w:shd w:val="clear" w:color="auto" w:fill="auto"/>
          </w:tcPr>
          <w:p w14:paraId="1ED06CA7" w14:textId="42D56AA1" w:rsidR="0068763C" w:rsidRPr="00AB5E77" w:rsidRDefault="0068763C" w:rsidP="0068763C">
            <w:pPr>
              <w:pStyle w:val="TSTextlnkuslovan"/>
              <w:spacing w:after="0" w:line="240" w:lineRule="auto"/>
              <w:jc w:val="center"/>
              <w:rPr>
                <w:rFonts w:cs="Arial"/>
                <w:szCs w:val="22"/>
                <w:lang w:val="cs-CZ" w:eastAsia="cs-CZ"/>
              </w:rPr>
            </w:pPr>
            <w:r w:rsidRPr="007405C6">
              <w:rPr>
                <w:rFonts w:cs="Arial"/>
                <w:sz w:val="20"/>
                <w:szCs w:val="20"/>
              </w:rPr>
              <w:t>příkazce</w:t>
            </w:r>
          </w:p>
        </w:tc>
        <w:tc>
          <w:tcPr>
            <w:tcW w:w="4423" w:type="dxa"/>
            <w:shd w:val="clear" w:color="auto" w:fill="auto"/>
            <w:vAlign w:val="center"/>
          </w:tcPr>
          <w:p w14:paraId="3CE4F492" w14:textId="77777777" w:rsidR="0068763C" w:rsidRPr="00AB5E77" w:rsidRDefault="0068763C" w:rsidP="0068763C">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BC74A3">
      <w:pPr>
        <w:suppressAutoHyphens/>
        <w:rPr>
          <w:rFonts w:cs="Arial"/>
          <w:szCs w:val="22"/>
        </w:rPr>
      </w:pPr>
    </w:p>
    <w:sectPr w:rsidR="00F93EF6" w:rsidRPr="00AB5E77" w:rsidSect="0068763C">
      <w:headerReference w:type="default" r:id="rId16"/>
      <w:footerReference w:type="even" r:id="rId17"/>
      <w:footerReference w:type="default" r:id="rId18"/>
      <w:headerReference w:type="first" r:id="rId19"/>
      <w:footerReference w:type="first" r:id="rId20"/>
      <w:pgSz w:w="11906" w:h="16838"/>
      <w:pgMar w:top="1191" w:right="851" w:bottom="1134" w:left="851"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6DD9"/>
    <w:rsid w:val="00236FE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47B24"/>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63C"/>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41BB9"/>
    <w:rsid w:val="00F5316D"/>
    <w:rsid w:val="00F63E71"/>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3.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5.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6.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8.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3213</Words>
  <Characters>19161</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22330</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Šebesta František Ing.</cp:lastModifiedBy>
  <cp:revision>4</cp:revision>
  <cp:lastPrinted>2014-03-27T07:20:00Z</cp:lastPrinted>
  <dcterms:created xsi:type="dcterms:W3CDTF">2024-04-03T08:36:00Z</dcterms:created>
  <dcterms:modified xsi:type="dcterms:W3CDTF">2024-04-03T11:33:00Z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